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1B5" w:rsidRDefault="00BC61B5" w:rsidP="00BC61B5">
      <w:pPr>
        <w:rPr>
          <w:rFonts w:ascii="Times New Roman" w:hAnsi="Times New Roman" w:cs="Times New Roman"/>
          <w:b/>
          <w:color w:val="1D1D1D"/>
          <w:sz w:val="24"/>
          <w:szCs w:val="24"/>
          <w:shd w:val="clear" w:color="auto" w:fill="FFFFFF"/>
        </w:rPr>
      </w:pPr>
    </w:p>
    <w:p w:rsidR="00BC61B5" w:rsidRDefault="00BC61B5" w:rsidP="00BC61B5">
      <w:pPr>
        <w:rPr>
          <w:rFonts w:ascii="Times New Roman" w:hAnsi="Times New Roman" w:cs="Times New Roman"/>
          <w:b/>
          <w:color w:val="1D1D1D"/>
          <w:sz w:val="24"/>
          <w:szCs w:val="24"/>
          <w:shd w:val="clear" w:color="auto" w:fill="FFFFFF"/>
        </w:rPr>
      </w:pPr>
    </w:p>
    <w:p w:rsidR="00BC61B5" w:rsidRDefault="00BC61B5" w:rsidP="00BC61B5">
      <w:pPr>
        <w:jc w:val="center"/>
        <w:rPr>
          <w:rFonts w:ascii="Times New Roman" w:hAnsi="Times New Roman" w:cs="Times New Roman"/>
          <w:b/>
          <w:color w:val="1D1D1D"/>
          <w:sz w:val="24"/>
          <w:szCs w:val="24"/>
          <w:shd w:val="clear" w:color="auto" w:fill="FFFFFF"/>
        </w:rPr>
      </w:pPr>
      <w:r w:rsidRPr="00BC61B5">
        <w:rPr>
          <w:rFonts w:ascii="Times New Roman" w:hAnsi="Times New Roman" w:cs="Times New Roman"/>
          <w:b/>
          <w:color w:val="1D1D1D"/>
          <w:sz w:val="24"/>
          <w:szCs w:val="24"/>
          <w:shd w:val="clear" w:color="auto" w:fill="FFFFFF"/>
        </w:rPr>
        <w:t>Texas Judicial System</w:t>
      </w:r>
    </w:p>
    <w:p w:rsidR="00BC61B5" w:rsidRDefault="00BC61B5" w:rsidP="00BC61B5">
      <w:pPr>
        <w:jc w:val="center"/>
        <w:rPr>
          <w:rFonts w:ascii="Times New Roman" w:hAnsi="Times New Roman" w:cs="Times New Roman"/>
          <w:b/>
          <w:color w:val="1D1D1D"/>
          <w:sz w:val="24"/>
          <w:szCs w:val="24"/>
          <w:shd w:val="clear" w:color="auto" w:fill="FFFFFF"/>
        </w:rPr>
      </w:pPr>
    </w:p>
    <w:p w:rsidR="00154546" w:rsidRDefault="00154546" w:rsidP="00BC61B5">
      <w:pPr>
        <w:jc w:val="center"/>
        <w:rPr>
          <w:rFonts w:ascii="Times New Roman" w:hAnsi="Times New Roman" w:cs="Times New Roman"/>
          <w:b/>
          <w:color w:val="1D1D1D"/>
          <w:sz w:val="24"/>
          <w:szCs w:val="24"/>
          <w:shd w:val="clear" w:color="auto" w:fill="FFFFFF"/>
        </w:rPr>
      </w:pPr>
    </w:p>
    <w:p w:rsidR="00154546" w:rsidRDefault="00154546" w:rsidP="00BC61B5">
      <w:pPr>
        <w:jc w:val="center"/>
        <w:rPr>
          <w:rFonts w:ascii="Times New Roman" w:hAnsi="Times New Roman" w:cs="Times New Roman"/>
          <w:b/>
          <w:color w:val="1D1D1D"/>
          <w:sz w:val="24"/>
          <w:szCs w:val="24"/>
          <w:shd w:val="clear" w:color="auto" w:fill="FFFFFF"/>
        </w:rPr>
      </w:pPr>
    </w:p>
    <w:p w:rsidR="00154546" w:rsidRDefault="00154546" w:rsidP="00BC61B5">
      <w:pPr>
        <w:jc w:val="center"/>
        <w:rPr>
          <w:rFonts w:ascii="Times New Roman" w:hAnsi="Times New Roman" w:cs="Times New Roman"/>
          <w:b/>
          <w:color w:val="1D1D1D"/>
          <w:sz w:val="24"/>
          <w:szCs w:val="24"/>
          <w:shd w:val="clear" w:color="auto" w:fill="FFFFFF"/>
        </w:rPr>
      </w:pPr>
    </w:p>
    <w:p w:rsidR="00BC61B5" w:rsidRDefault="00BC61B5" w:rsidP="00BC61B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BC61B5" w:rsidRDefault="00BC61B5" w:rsidP="00BC61B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 Affiliation</w:t>
      </w:r>
    </w:p>
    <w:p w:rsidR="00BC61B5" w:rsidRDefault="00BC61B5" w:rsidP="00BC61B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BC61B5" w:rsidRDefault="00BC61B5" w:rsidP="00BC61B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Professor</w:t>
      </w:r>
    </w:p>
    <w:p w:rsidR="00BC61B5" w:rsidRPr="00BC61B5" w:rsidRDefault="00BC61B5" w:rsidP="00BC61B5">
      <w:pPr>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BC61B5" w:rsidRDefault="00BC61B5">
      <w:pP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rsidR="000536F4" w:rsidRDefault="008A66E6" w:rsidP="000536F4">
      <w:pPr>
        <w:jc w:val="center"/>
        <w:rPr>
          <w:rFonts w:ascii="Times New Roman" w:hAnsi="Times New Roman" w:cs="Times New Roman"/>
          <w:b/>
          <w:color w:val="1D1D1D"/>
          <w:sz w:val="24"/>
          <w:szCs w:val="24"/>
          <w:shd w:val="clear" w:color="auto" w:fill="FFFFFF"/>
        </w:rPr>
      </w:pPr>
      <w:r w:rsidRPr="000536F4">
        <w:rPr>
          <w:rFonts w:ascii="Times New Roman" w:hAnsi="Times New Roman" w:cs="Times New Roman"/>
          <w:b/>
          <w:color w:val="1D1D1D"/>
          <w:sz w:val="24"/>
          <w:szCs w:val="24"/>
          <w:shd w:val="clear" w:color="auto" w:fill="FFFFFF"/>
        </w:rPr>
        <w:lastRenderedPageBreak/>
        <w:t>Texas Judicial System</w:t>
      </w:r>
    </w:p>
    <w:p w:rsidR="008D484D" w:rsidRDefault="008A66E6" w:rsidP="009C6E73">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8D484D">
        <w:rPr>
          <w:rFonts w:ascii="Times New Roman" w:hAnsi="Times New Roman" w:cs="Times New Roman"/>
          <w:color w:val="1D1D1D"/>
          <w:sz w:val="24"/>
          <w:szCs w:val="24"/>
          <w:shd w:val="clear" w:color="auto" w:fill="FFFFFF"/>
        </w:rPr>
        <w:t>To manage current litigation, the Texas judicial system is cumbersome</w:t>
      </w:r>
      <w:r w:rsidR="00154546" w:rsidRPr="008D484D">
        <w:rPr>
          <w:rFonts w:ascii="Times New Roman" w:hAnsi="Times New Roman" w:cs="Times New Roman"/>
          <w:color w:val="1D1D1D"/>
          <w:sz w:val="24"/>
          <w:szCs w:val="24"/>
          <w:shd w:val="clear" w:color="auto" w:fill="FFFFFF"/>
        </w:rPr>
        <w:t>, poorly</w:t>
      </w:r>
      <w:r w:rsidRPr="008D484D">
        <w:rPr>
          <w:rFonts w:ascii="Times New Roman" w:hAnsi="Times New Roman" w:cs="Times New Roman"/>
          <w:color w:val="1D1D1D"/>
          <w:sz w:val="24"/>
          <w:szCs w:val="24"/>
          <w:shd w:val="clear" w:color="auto" w:fill="FFFFFF"/>
        </w:rPr>
        <w:t>, and inefficiently designed. Its actual construction was built in the late 1800s, and it has been extended on to an ad hoc manner ever since. As an outcome, there are several irregularities and quirks in the system. There are issues at every level, including judicial administration and financing. To achieve more consistency, effectiveness, and responsibility, significant reform is required. To find the optimal approach for constructing, running, and funding Texas's judiciary, this study evaluates the Texas judicial process, the national judicial branch, and the judiciary system of other states. The article comes to a definite conclusion with precise suggestions.</w:t>
      </w:r>
    </w:p>
    <w:p w:rsidR="002460FB" w:rsidRPr="002460FB" w:rsidRDefault="008A66E6" w:rsidP="00154546">
      <w:pPr>
        <w:jc w:val="center"/>
        <w:rPr>
          <w:rFonts w:ascii="Times New Roman" w:hAnsi="Times New Roman" w:cs="Times New Roman"/>
          <w:b/>
          <w:color w:val="1D1D1D"/>
          <w:sz w:val="24"/>
          <w:szCs w:val="24"/>
          <w:shd w:val="clear" w:color="auto" w:fill="FFFFFF"/>
        </w:rPr>
      </w:pPr>
      <w:r w:rsidRPr="002460FB">
        <w:rPr>
          <w:rFonts w:ascii="Times New Roman" w:hAnsi="Times New Roman" w:cs="Times New Roman"/>
          <w:b/>
          <w:color w:val="1D1D1D"/>
          <w:sz w:val="24"/>
          <w:szCs w:val="24"/>
          <w:shd w:val="clear" w:color="auto" w:fill="FFFFFF"/>
        </w:rPr>
        <w:t>The advantages and disadvantages to possible reforms in the Texas Judicial System</w:t>
      </w:r>
    </w:p>
    <w:p w:rsidR="008D484D" w:rsidRDefault="008A66E6" w:rsidP="008D484D">
      <w:pPr>
        <w:ind w:firstLine="720"/>
        <w:rPr>
          <w:rFonts w:ascii="Times New Roman" w:hAnsi="Times New Roman" w:cs="Times New Roman"/>
          <w:color w:val="1D1D1D"/>
          <w:sz w:val="24"/>
          <w:szCs w:val="24"/>
          <w:shd w:val="clear" w:color="auto" w:fill="FFFFFF"/>
        </w:rPr>
      </w:pPr>
      <w:r w:rsidRPr="008D484D">
        <w:rPr>
          <w:rFonts w:ascii="Times New Roman" w:hAnsi="Times New Roman" w:cs="Times New Roman"/>
          <w:color w:val="1D1D1D"/>
          <w:sz w:val="24"/>
          <w:szCs w:val="24"/>
          <w:shd w:val="clear" w:color="auto" w:fill="FFFFFF"/>
        </w:rPr>
        <w:t xml:space="preserve">The Supreme Legal and the </w:t>
      </w:r>
      <w:r w:rsidR="00162EF5" w:rsidRPr="008D484D">
        <w:rPr>
          <w:rFonts w:ascii="Times New Roman" w:hAnsi="Times New Roman" w:cs="Times New Roman"/>
          <w:color w:val="1D1D1D"/>
          <w:sz w:val="24"/>
          <w:szCs w:val="24"/>
          <w:shd w:val="clear" w:color="auto" w:fill="FFFFFF"/>
        </w:rPr>
        <w:t>Felonious</w:t>
      </w:r>
      <w:r w:rsidRPr="008D484D">
        <w:rPr>
          <w:rFonts w:ascii="Times New Roman" w:hAnsi="Times New Roman" w:cs="Times New Roman"/>
          <w:color w:val="1D1D1D"/>
          <w:sz w:val="24"/>
          <w:szCs w:val="24"/>
          <w:shd w:val="clear" w:color="auto" w:fill="FFFFFF"/>
        </w:rPr>
        <w:t xml:space="preserve"> division Appeals stand at the pinnacle of the Texas </w:t>
      </w:r>
      <w:r w:rsidR="00162EF5" w:rsidRPr="008D484D">
        <w:rPr>
          <w:rFonts w:ascii="Times New Roman" w:hAnsi="Times New Roman" w:cs="Times New Roman"/>
          <w:color w:val="1D1D1D"/>
          <w:sz w:val="24"/>
          <w:szCs w:val="24"/>
          <w:shd w:val="clear" w:color="auto" w:fill="FFFFFF"/>
        </w:rPr>
        <w:t>legal</w:t>
      </w:r>
      <w:r w:rsidRPr="008D484D">
        <w:rPr>
          <w:rFonts w:ascii="Times New Roman" w:hAnsi="Times New Roman" w:cs="Times New Roman"/>
          <w:color w:val="1D1D1D"/>
          <w:sz w:val="24"/>
          <w:szCs w:val="24"/>
          <w:shd w:val="clear" w:color="auto" w:fill="FFFFFF"/>
        </w:rPr>
        <w:t xml:space="preserve"> process.  The Judicial Branch </w:t>
      </w:r>
      <w:r w:rsidR="00162EF5" w:rsidRPr="008D484D">
        <w:rPr>
          <w:rFonts w:ascii="Times New Roman" w:hAnsi="Times New Roman" w:cs="Times New Roman"/>
          <w:color w:val="1D1D1D"/>
          <w:sz w:val="24"/>
          <w:szCs w:val="24"/>
          <w:shd w:val="clear" w:color="auto" w:fill="FFFFFF"/>
        </w:rPr>
        <w:t>overhear</w:t>
      </w:r>
      <w:r w:rsidRPr="008D484D">
        <w:rPr>
          <w:rFonts w:ascii="Times New Roman" w:hAnsi="Times New Roman" w:cs="Times New Roman"/>
          <w:color w:val="1D1D1D"/>
          <w:sz w:val="24"/>
          <w:szCs w:val="24"/>
          <w:shd w:val="clear" w:color="auto" w:fill="FFFFFF"/>
        </w:rPr>
        <w:t xml:space="preserve">s juvenile and civil cases. The Court of </w:t>
      </w:r>
      <w:r w:rsidR="00162EF5" w:rsidRPr="008D484D">
        <w:rPr>
          <w:rFonts w:ascii="Times New Roman" w:hAnsi="Times New Roman" w:cs="Times New Roman"/>
          <w:color w:val="1D1D1D"/>
          <w:sz w:val="24"/>
          <w:szCs w:val="24"/>
          <w:shd w:val="clear" w:color="auto" w:fill="FFFFFF"/>
        </w:rPr>
        <w:t>Illegal</w:t>
      </w:r>
      <w:r w:rsidRPr="008D484D">
        <w:rPr>
          <w:rFonts w:ascii="Times New Roman" w:hAnsi="Times New Roman" w:cs="Times New Roman"/>
          <w:color w:val="1D1D1D"/>
          <w:sz w:val="24"/>
          <w:szCs w:val="24"/>
          <w:shd w:val="clear" w:color="auto" w:fill="FFFFFF"/>
        </w:rPr>
        <w:t xml:space="preserve"> Appeals overhears criminal cases. There are nine </w:t>
      </w:r>
      <w:r w:rsidR="00162EF5" w:rsidRPr="008D484D">
        <w:rPr>
          <w:rFonts w:ascii="Times New Roman" w:hAnsi="Times New Roman" w:cs="Times New Roman"/>
          <w:color w:val="1D1D1D"/>
          <w:sz w:val="24"/>
          <w:szCs w:val="24"/>
          <w:shd w:val="clear" w:color="auto" w:fill="FFFFFF"/>
        </w:rPr>
        <w:t>adjudicators</w:t>
      </w:r>
      <w:r w:rsidRPr="008D484D">
        <w:rPr>
          <w:rFonts w:ascii="Times New Roman" w:hAnsi="Times New Roman" w:cs="Times New Roman"/>
          <w:color w:val="1D1D1D"/>
          <w:sz w:val="24"/>
          <w:szCs w:val="24"/>
          <w:shd w:val="clear" w:color="auto" w:fill="FFFFFF"/>
        </w:rPr>
        <w:t xml:space="preserve"> on each bench. Just one other nation does have a high court organization like this, but no other nation would have as many high court </w:t>
      </w:r>
      <w:r w:rsidR="00162EF5" w:rsidRPr="008D484D">
        <w:rPr>
          <w:rFonts w:ascii="Times New Roman" w:hAnsi="Times New Roman" w:cs="Times New Roman"/>
          <w:color w:val="1D1D1D"/>
          <w:sz w:val="24"/>
          <w:szCs w:val="24"/>
          <w:shd w:val="clear" w:color="auto" w:fill="FFFFFF"/>
        </w:rPr>
        <w:t>adjudicators</w:t>
      </w:r>
      <w:r w:rsidRPr="008D484D">
        <w:rPr>
          <w:rFonts w:ascii="Times New Roman" w:hAnsi="Times New Roman" w:cs="Times New Roman"/>
          <w:color w:val="1D1D1D"/>
          <w:sz w:val="24"/>
          <w:szCs w:val="24"/>
          <w:shd w:val="clear" w:color="auto" w:fill="FFFFFF"/>
        </w:rPr>
        <w:t xml:space="preserve"> as this one (Schneider &amp; </w:t>
      </w:r>
      <w:proofErr w:type="spellStart"/>
      <w:r w:rsidRPr="008D484D">
        <w:rPr>
          <w:rFonts w:ascii="Times New Roman" w:hAnsi="Times New Roman" w:cs="Times New Roman"/>
          <w:color w:val="1D1D1D"/>
          <w:sz w:val="24"/>
          <w:szCs w:val="24"/>
          <w:shd w:val="clear" w:color="auto" w:fill="FFFFFF"/>
        </w:rPr>
        <w:t>Alkon</w:t>
      </w:r>
      <w:proofErr w:type="spellEnd"/>
      <w:r w:rsidRPr="008D484D">
        <w:rPr>
          <w:rFonts w:ascii="Times New Roman" w:hAnsi="Times New Roman" w:cs="Times New Roman"/>
          <w:color w:val="1D1D1D"/>
          <w:sz w:val="24"/>
          <w:szCs w:val="24"/>
          <w:shd w:val="clear" w:color="auto" w:fill="FFFFFF"/>
        </w:rPr>
        <w:t>, 2019)</w:t>
      </w:r>
      <w:r w:rsidR="00154546">
        <w:rPr>
          <w:rFonts w:ascii="Times New Roman" w:hAnsi="Times New Roman" w:cs="Times New Roman"/>
          <w:color w:val="1D1D1D"/>
          <w:sz w:val="24"/>
          <w:szCs w:val="24"/>
          <w:shd w:val="clear" w:color="auto" w:fill="FFFFFF"/>
        </w:rPr>
        <w:t>.</w:t>
      </w:r>
    </w:p>
    <w:p w:rsidR="008D484D" w:rsidRDefault="008A66E6" w:rsidP="008D484D">
      <w:pPr>
        <w:ind w:firstLine="720"/>
        <w:rPr>
          <w:rFonts w:ascii="Times New Roman" w:hAnsi="Times New Roman" w:cs="Times New Roman"/>
          <w:color w:val="1D1D1D"/>
          <w:sz w:val="24"/>
          <w:szCs w:val="24"/>
          <w:shd w:val="clear" w:color="auto" w:fill="FFFFFF"/>
        </w:rPr>
      </w:pPr>
      <w:r w:rsidRPr="008D484D">
        <w:rPr>
          <w:rFonts w:ascii="Times New Roman" w:hAnsi="Times New Roman" w:cs="Times New Roman"/>
          <w:color w:val="1D1D1D"/>
          <w:sz w:val="24"/>
          <w:szCs w:val="24"/>
          <w:shd w:val="clear" w:color="auto" w:fill="FFFFFF"/>
        </w:rPr>
        <w:t xml:space="preserve">There are </w:t>
      </w:r>
      <w:r w:rsidR="00162EF5" w:rsidRPr="008D484D">
        <w:rPr>
          <w:rFonts w:ascii="Times New Roman" w:hAnsi="Times New Roman" w:cs="Times New Roman"/>
          <w:color w:val="1D1D1D"/>
          <w:sz w:val="24"/>
          <w:szCs w:val="24"/>
          <w:shd w:val="clear" w:color="auto" w:fill="FFFFFF"/>
        </w:rPr>
        <w:t>benefits</w:t>
      </w:r>
      <w:r w:rsidRPr="008D484D">
        <w:rPr>
          <w:rFonts w:ascii="Times New Roman" w:hAnsi="Times New Roman" w:cs="Times New Roman"/>
          <w:color w:val="1D1D1D"/>
          <w:sz w:val="24"/>
          <w:szCs w:val="24"/>
          <w:shd w:val="clear" w:color="auto" w:fill="FFFFFF"/>
        </w:rPr>
        <w:t xml:space="preserve"> and </w:t>
      </w:r>
      <w:r w:rsidR="00162EF5" w:rsidRPr="008D484D">
        <w:rPr>
          <w:rFonts w:ascii="Times New Roman" w:hAnsi="Times New Roman" w:cs="Times New Roman"/>
          <w:color w:val="1D1D1D"/>
          <w:sz w:val="24"/>
          <w:szCs w:val="24"/>
          <w:shd w:val="clear" w:color="auto" w:fill="FFFFFF"/>
        </w:rPr>
        <w:t>shortcomings</w:t>
      </w:r>
      <w:r w:rsidRPr="008D484D">
        <w:rPr>
          <w:rFonts w:ascii="Times New Roman" w:hAnsi="Times New Roman" w:cs="Times New Roman"/>
          <w:color w:val="1D1D1D"/>
          <w:sz w:val="24"/>
          <w:szCs w:val="24"/>
          <w:shd w:val="clear" w:color="auto" w:fill="FFFFFF"/>
        </w:rPr>
        <w:t xml:space="preserve"> to getting two high courts. On the one hand, </w:t>
      </w:r>
      <w:r w:rsidR="00162EF5" w:rsidRPr="008D484D">
        <w:rPr>
          <w:rFonts w:ascii="Times New Roman" w:hAnsi="Times New Roman" w:cs="Times New Roman"/>
          <w:color w:val="1D1D1D"/>
          <w:sz w:val="24"/>
          <w:szCs w:val="24"/>
          <w:shd w:val="clear" w:color="auto" w:fill="FFFFFF"/>
        </w:rPr>
        <w:t>consecutively</w:t>
      </w:r>
      <w:r w:rsidRPr="008D484D">
        <w:rPr>
          <w:rFonts w:ascii="Times New Roman" w:hAnsi="Times New Roman" w:cs="Times New Roman"/>
          <w:color w:val="1D1D1D"/>
          <w:sz w:val="24"/>
          <w:szCs w:val="24"/>
          <w:shd w:val="clear" w:color="auto" w:fill="FFFFFF"/>
        </w:rPr>
        <w:t xml:space="preserve">, two high </w:t>
      </w:r>
      <w:r w:rsidR="00162EF5" w:rsidRPr="008D484D">
        <w:rPr>
          <w:rFonts w:ascii="Times New Roman" w:hAnsi="Times New Roman" w:cs="Times New Roman"/>
          <w:color w:val="1D1D1D"/>
          <w:sz w:val="24"/>
          <w:szCs w:val="24"/>
          <w:shd w:val="clear" w:color="auto" w:fill="FFFFFF"/>
        </w:rPr>
        <w:t>benches</w:t>
      </w:r>
      <w:r w:rsidRPr="008D484D">
        <w:rPr>
          <w:rFonts w:ascii="Times New Roman" w:hAnsi="Times New Roman" w:cs="Times New Roman"/>
          <w:color w:val="1D1D1D"/>
          <w:sz w:val="24"/>
          <w:szCs w:val="24"/>
          <w:shd w:val="clear" w:color="auto" w:fill="FFFFFF"/>
        </w:rPr>
        <w:t xml:space="preserve"> </w:t>
      </w:r>
      <w:r w:rsidR="00162EF5" w:rsidRPr="008D484D">
        <w:rPr>
          <w:rFonts w:ascii="Times New Roman" w:hAnsi="Times New Roman" w:cs="Times New Roman"/>
          <w:color w:val="1D1D1D"/>
          <w:sz w:val="24"/>
          <w:szCs w:val="24"/>
          <w:shd w:val="clear" w:color="auto" w:fill="FFFFFF"/>
        </w:rPr>
        <w:t>make the</w:t>
      </w:r>
      <w:r w:rsidRPr="008D484D">
        <w:rPr>
          <w:rFonts w:ascii="Times New Roman" w:hAnsi="Times New Roman" w:cs="Times New Roman"/>
          <w:color w:val="1D1D1D"/>
          <w:sz w:val="24"/>
          <w:szCs w:val="24"/>
          <w:shd w:val="clear" w:color="auto" w:fill="FFFFFF"/>
        </w:rPr>
        <w:t xml:space="preserve"> </w:t>
      </w:r>
      <w:r w:rsidR="00162EF5" w:rsidRPr="008D484D">
        <w:rPr>
          <w:rFonts w:ascii="Times New Roman" w:hAnsi="Times New Roman" w:cs="Times New Roman"/>
          <w:color w:val="1D1D1D"/>
          <w:sz w:val="24"/>
          <w:szCs w:val="24"/>
          <w:shd w:val="clear" w:color="auto" w:fill="FFFFFF"/>
        </w:rPr>
        <w:t>legal</w:t>
      </w:r>
      <w:r w:rsidRPr="008D484D">
        <w:rPr>
          <w:rFonts w:ascii="Times New Roman" w:hAnsi="Times New Roman" w:cs="Times New Roman"/>
          <w:color w:val="1D1D1D"/>
          <w:sz w:val="24"/>
          <w:szCs w:val="24"/>
          <w:shd w:val="clear" w:color="auto" w:fill="FFFFFF"/>
        </w:rPr>
        <w:t xml:space="preserve"> organization more </w:t>
      </w:r>
      <w:r w:rsidR="00E11BF4" w:rsidRPr="008D484D">
        <w:rPr>
          <w:rFonts w:ascii="Times New Roman" w:hAnsi="Times New Roman" w:cs="Times New Roman"/>
          <w:color w:val="1D1D1D"/>
          <w:sz w:val="24"/>
          <w:szCs w:val="24"/>
          <w:shd w:val="clear" w:color="auto" w:fill="FFFFFF"/>
        </w:rPr>
        <w:t>problematic</w:t>
      </w:r>
      <w:r w:rsidRPr="008D484D">
        <w:rPr>
          <w:rFonts w:ascii="Times New Roman" w:hAnsi="Times New Roman" w:cs="Times New Roman"/>
          <w:color w:val="1D1D1D"/>
          <w:sz w:val="24"/>
          <w:szCs w:val="24"/>
          <w:shd w:val="clear" w:color="auto" w:fill="FFFFFF"/>
        </w:rPr>
        <w:t xml:space="preserve">. Since neither of Texas's high courts is supreme, they cannot settle conflicts arising when both reach conflicting </w:t>
      </w:r>
      <w:r w:rsidR="00E11BF4" w:rsidRPr="008D484D">
        <w:rPr>
          <w:rFonts w:ascii="Times New Roman" w:hAnsi="Times New Roman" w:cs="Times New Roman"/>
          <w:color w:val="1D1D1D"/>
          <w:sz w:val="24"/>
          <w:szCs w:val="24"/>
          <w:shd w:val="clear" w:color="auto" w:fill="FFFFFF"/>
        </w:rPr>
        <w:t>lawful</w:t>
      </w:r>
      <w:r w:rsidRPr="008D484D">
        <w:rPr>
          <w:rFonts w:ascii="Times New Roman" w:hAnsi="Times New Roman" w:cs="Times New Roman"/>
          <w:color w:val="1D1D1D"/>
          <w:sz w:val="24"/>
          <w:szCs w:val="24"/>
          <w:shd w:val="clear" w:color="auto" w:fill="FFFFFF"/>
        </w:rPr>
        <w:t xml:space="preserve"> judgments on a </w:t>
      </w:r>
      <w:r w:rsidR="00E11BF4" w:rsidRPr="008D484D">
        <w:rPr>
          <w:rFonts w:ascii="Times New Roman" w:hAnsi="Times New Roman" w:cs="Times New Roman"/>
          <w:color w:val="1D1D1D"/>
          <w:sz w:val="24"/>
          <w:szCs w:val="24"/>
          <w:shd w:val="clear" w:color="auto" w:fill="FFFFFF"/>
        </w:rPr>
        <w:t>similar</w:t>
      </w:r>
      <w:r w:rsidRPr="008D484D">
        <w:rPr>
          <w:rFonts w:ascii="Times New Roman" w:hAnsi="Times New Roman" w:cs="Times New Roman"/>
          <w:color w:val="1D1D1D"/>
          <w:sz w:val="24"/>
          <w:szCs w:val="24"/>
          <w:shd w:val="clear" w:color="auto" w:fill="FFFFFF"/>
        </w:rPr>
        <w:t xml:space="preserve"> </w:t>
      </w:r>
      <w:r w:rsidR="00EA5667" w:rsidRPr="008D484D">
        <w:rPr>
          <w:rFonts w:ascii="Times New Roman" w:hAnsi="Times New Roman" w:cs="Times New Roman"/>
          <w:color w:val="1D1D1D"/>
          <w:sz w:val="24"/>
          <w:szCs w:val="24"/>
          <w:shd w:val="clear" w:color="auto" w:fill="FFFFFF"/>
        </w:rPr>
        <w:t>subject</w:t>
      </w:r>
      <w:r w:rsidRPr="008D484D">
        <w:rPr>
          <w:rFonts w:ascii="Times New Roman" w:hAnsi="Times New Roman" w:cs="Times New Roman"/>
          <w:color w:val="1D1D1D"/>
          <w:sz w:val="24"/>
          <w:szCs w:val="24"/>
          <w:shd w:val="clear" w:color="auto" w:fill="FFFFFF"/>
        </w:rPr>
        <w:t xml:space="preserve">. Containing two high courts, on the other extreme, enables every court to apply specialist skills to various cases, </w:t>
      </w:r>
      <w:r w:rsidR="00665806" w:rsidRPr="008D484D">
        <w:rPr>
          <w:rFonts w:ascii="Times New Roman" w:hAnsi="Times New Roman" w:cs="Times New Roman"/>
          <w:color w:val="1D1D1D"/>
          <w:sz w:val="24"/>
          <w:szCs w:val="24"/>
          <w:shd w:val="clear" w:color="auto" w:fill="FFFFFF"/>
        </w:rPr>
        <w:t>which benefits plaintiffs?</w:t>
      </w:r>
      <w:r w:rsidRPr="008D484D">
        <w:rPr>
          <w:rFonts w:ascii="Times New Roman" w:hAnsi="Times New Roman" w:cs="Times New Roman"/>
          <w:color w:val="1D1D1D"/>
          <w:sz w:val="24"/>
          <w:szCs w:val="24"/>
          <w:shd w:val="clear" w:color="auto" w:fill="FFFFFF"/>
        </w:rPr>
        <w:t xml:space="preserve"> Furthermore, compared to other regions, all courts are willing to contemplate a more significant number of appeals than if there had been one high court. Finally, this allows each court to provide better </w:t>
      </w:r>
      <w:r w:rsidRPr="008D484D">
        <w:rPr>
          <w:rFonts w:ascii="Times New Roman" w:hAnsi="Times New Roman" w:cs="Times New Roman"/>
          <w:color w:val="1D1D1D"/>
          <w:sz w:val="24"/>
          <w:szCs w:val="24"/>
          <w:shd w:val="clear" w:color="auto" w:fill="FFFFFF"/>
        </w:rPr>
        <w:lastRenderedPageBreak/>
        <w:t>legal clarity by admitting cases involving unique or complicated legal questions, as well as legal problems upon which intermediary appellate courts differ.</w:t>
      </w:r>
    </w:p>
    <w:p w:rsidR="002460FB" w:rsidRPr="002460FB" w:rsidRDefault="008A66E6" w:rsidP="00154546">
      <w:pPr>
        <w:jc w:val="center"/>
        <w:rPr>
          <w:rFonts w:ascii="Times New Roman" w:hAnsi="Times New Roman" w:cs="Times New Roman"/>
          <w:b/>
          <w:color w:val="1D1D1D"/>
          <w:sz w:val="24"/>
          <w:szCs w:val="24"/>
          <w:shd w:val="clear" w:color="auto" w:fill="FFFFFF"/>
        </w:rPr>
      </w:pPr>
      <w:r w:rsidRPr="002460FB">
        <w:rPr>
          <w:rFonts w:ascii="Times New Roman" w:hAnsi="Times New Roman" w:cs="Times New Roman"/>
          <w:b/>
          <w:color w:val="1D1D1D"/>
          <w:sz w:val="24"/>
          <w:szCs w:val="24"/>
          <w:shd w:val="clear" w:color="auto" w:fill="FFFFFF"/>
        </w:rPr>
        <w:t xml:space="preserve">How </w:t>
      </w:r>
      <w:r>
        <w:rPr>
          <w:rFonts w:ascii="Times New Roman" w:hAnsi="Times New Roman" w:cs="Times New Roman"/>
          <w:b/>
          <w:color w:val="1D1D1D"/>
          <w:sz w:val="24"/>
          <w:szCs w:val="24"/>
          <w:shd w:val="clear" w:color="auto" w:fill="FFFFFF"/>
        </w:rPr>
        <w:t>Texas Compare to the Other States in Terms of Selecting Judges, C</w:t>
      </w:r>
      <w:r w:rsidRPr="002460FB">
        <w:rPr>
          <w:rFonts w:ascii="Times New Roman" w:hAnsi="Times New Roman" w:cs="Times New Roman"/>
          <w:b/>
          <w:color w:val="1D1D1D"/>
          <w:sz w:val="24"/>
          <w:szCs w:val="24"/>
          <w:shd w:val="clear" w:color="auto" w:fill="FFFFFF"/>
        </w:rPr>
        <w:t>ampaig</w:t>
      </w:r>
      <w:r>
        <w:rPr>
          <w:rFonts w:ascii="Times New Roman" w:hAnsi="Times New Roman" w:cs="Times New Roman"/>
          <w:b/>
          <w:color w:val="1D1D1D"/>
          <w:sz w:val="24"/>
          <w:szCs w:val="24"/>
          <w:shd w:val="clear" w:color="auto" w:fill="FFFFFF"/>
        </w:rPr>
        <w:t>n Contributions to Judges, Court S</w:t>
      </w:r>
      <w:r w:rsidRPr="002460FB">
        <w:rPr>
          <w:rFonts w:ascii="Times New Roman" w:hAnsi="Times New Roman" w:cs="Times New Roman"/>
          <w:b/>
          <w:color w:val="1D1D1D"/>
          <w:sz w:val="24"/>
          <w:szCs w:val="24"/>
          <w:shd w:val="clear" w:color="auto" w:fill="FFFFFF"/>
        </w:rPr>
        <w:t>tructur</w:t>
      </w:r>
      <w:r>
        <w:rPr>
          <w:rFonts w:ascii="Times New Roman" w:hAnsi="Times New Roman" w:cs="Times New Roman"/>
          <w:b/>
          <w:color w:val="1D1D1D"/>
          <w:sz w:val="24"/>
          <w:szCs w:val="24"/>
          <w:shd w:val="clear" w:color="auto" w:fill="FFFFFF"/>
        </w:rPr>
        <w:t>e, Pay, and Diversity of J</w:t>
      </w:r>
      <w:r w:rsidRPr="002460FB">
        <w:rPr>
          <w:rFonts w:ascii="Times New Roman" w:hAnsi="Times New Roman" w:cs="Times New Roman"/>
          <w:b/>
          <w:color w:val="1D1D1D"/>
          <w:sz w:val="24"/>
          <w:szCs w:val="24"/>
          <w:shd w:val="clear" w:color="auto" w:fill="FFFFFF"/>
        </w:rPr>
        <w:t>udges</w:t>
      </w:r>
    </w:p>
    <w:p w:rsidR="00665806" w:rsidRDefault="008A66E6" w:rsidP="002B25DA">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665806">
        <w:rPr>
          <w:rFonts w:ascii="Times New Roman" w:hAnsi="Times New Roman" w:cs="Times New Roman"/>
          <w:color w:val="1D1D1D"/>
          <w:sz w:val="24"/>
          <w:szCs w:val="24"/>
          <w:shd w:val="clear" w:color="auto" w:fill="FFFFFF"/>
        </w:rPr>
        <w:t>Judges were initially politically appointed with senator's ascent until Texas became a republic in 1845; however, since 1876, judges at any judiciary level have been decided by the people in elections. Texas became the first nation in which a judiciary election cost more than $1 million in 1980. Political donations to contestants in contentious appeal court campaigns grew by 250 percent between 1980 and 1986. The High Court primaries of 1988 were the most costly in Texas history, with a dozen contenders raising $12 million for six seats. The seven victorious contenders for the High Court earned about $9.2 million between 1992 and 1997</w:t>
      </w:r>
      <w:r w:rsidR="00154546">
        <w:rPr>
          <w:rFonts w:ascii="Times New Roman" w:hAnsi="Times New Roman" w:cs="Times New Roman"/>
          <w:color w:val="1D1D1D"/>
          <w:sz w:val="24"/>
          <w:szCs w:val="24"/>
          <w:shd w:val="clear" w:color="auto" w:fill="FFFFFF"/>
        </w:rPr>
        <w:t xml:space="preserve"> </w:t>
      </w:r>
      <w:r w:rsidR="00154546" w:rsidRPr="00665806">
        <w:rPr>
          <w:rFonts w:ascii="Times New Roman" w:hAnsi="Times New Roman" w:cs="Times New Roman"/>
          <w:color w:val="1D1D1D"/>
          <w:sz w:val="24"/>
          <w:szCs w:val="24"/>
          <w:shd w:val="clear" w:color="auto" w:fill="FFFFFF"/>
        </w:rPr>
        <w:t xml:space="preserve">(Solberg &amp; </w:t>
      </w:r>
      <w:proofErr w:type="spellStart"/>
      <w:r w:rsidR="00154546" w:rsidRPr="00665806">
        <w:rPr>
          <w:rFonts w:ascii="Times New Roman" w:hAnsi="Times New Roman" w:cs="Times New Roman"/>
          <w:color w:val="1D1D1D"/>
          <w:sz w:val="24"/>
          <w:szCs w:val="24"/>
          <w:shd w:val="clear" w:color="auto" w:fill="FFFFFF"/>
        </w:rPr>
        <w:t>Diascro</w:t>
      </w:r>
      <w:proofErr w:type="spellEnd"/>
      <w:r w:rsidR="00154546" w:rsidRPr="00665806">
        <w:rPr>
          <w:rFonts w:ascii="Times New Roman" w:hAnsi="Times New Roman" w:cs="Times New Roman"/>
          <w:color w:val="1D1D1D"/>
          <w:sz w:val="24"/>
          <w:szCs w:val="24"/>
          <w:shd w:val="clear" w:color="auto" w:fill="FFFFFF"/>
        </w:rPr>
        <w:t>, 2018)</w:t>
      </w:r>
      <w:r w:rsidRPr="00665806">
        <w:rPr>
          <w:rFonts w:ascii="Times New Roman" w:hAnsi="Times New Roman" w:cs="Times New Roman"/>
          <w:color w:val="1D1D1D"/>
          <w:sz w:val="24"/>
          <w:szCs w:val="24"/>
          <w:shd w:val="clear" w:color="auto" w:fill="FFFFFF"/>
        </w:rPr>
        <w:t>. And over 40% of the $9.2 million came from litigants or lawyers involved in court matters or donors connected to those entities.</w:t>
      </w:r>
    </w:p>
    <w:p w:rsidR="002460FB" w:rsidRPr="002460FB" w:rsidRDefault="008A66E6" w:rsidP="00154546">
      <w:pPr>
        <w:jc w:val="center"/>
        <w:rPr>
          <w:rFonts w:ascii="Times New Roman" w:hAnsi="Times New Roman" w:cs="Times New Roman"/>
          <w:b/>
          <w:color w:val="1D1D1D"/>
          <w:sz w:val="24"/>
          <w:szCs w:val="24"/>
          <w:shd w:val="clear" w:color="auto" w:fill="FFFFFF"/>
        </w:rPr>
      </w:pPr>
      <w:r w:rsidRPr="002460FB">
        <w:rPr>
          <w:rFonts w:ascii="Times New Roman" w:hAnsi="Times New Roman" w:cs="Times New Roman"/>
          <w:b/>
          <w:color w:val="1D1D1D"/>
          <w:sz w:val="24"/>
          <w:szCs w:val="24"/>
          <w:shd w:val="clear" w:color="auto" w:fill="FFFFFF"/>
        </w:rPr>
        <w:t xml:space="preserve">Compare Texas to the Other </w:t>
      </w:r>
      <w:bookmarkStart w:id="0" w:name="_GoBack"/>
      <w:bookmarkEnd w:id="0"/>
      <w:r w:rsidRPr="002460FB">
        <w:rPr>
          <w:rFonts w:ascii="Times New Roman" w:hAnsi="Times New Roman" w:cs="Times New Roman"/>
          <w:b/>
          <w:color w:val="1D1D1D"/>
          <w:sz w:val="24"/>
          <w:szCs w:val="24"/>
          <w:shd w:val="clear" w:color="auto" w:fill="FFFFFF"/>
        </w:rPr>
        <w:t>States in Terms of the Death Penalty, Prison Population, and Sentencing</w:t>
      </w:r>
    </w:p>
    <w:p w:rsidR="00665806" w:rsidRDefault="008A66E6" w:rsidP="009C6E73">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665806">
        <w:rPr>
          <w:rFonts w:ascii="Times New Roman" w:hAnsi="Times New Roman" w:cs="Times New Roman"/>
          <w:color w:val="1D1D1D"/>
          <w:sz w:val="24"/>
          <w:szCs w:val="24"/>
          <w:shd w:val="clear" w:color="auto" w:fill="FFFFFF"/>
        </w:rPr>
        <w:t xml:space="preserve">Since 1982, the </w:t>
      </w:r>
      <w:r w:rsidR="00EA5667" w:rsidRPr="00665806">
        <w:rPr>
          <w:rFonts w:ascii="Times New Roman" w:hAnsi="Times New Roman" w:cs="Times New Roman"/>
          <w:color w:val="1D1D1D"/>
          <w:sz w:val="24"/>
          <w:szCs w:val="24"/>
          <w:shd w:val="clear" w:color="auto" w:fill="FFFFFF"/>
        </w:rPr>
        <w:t>government</w:t>
      </w:r>
      <w:r w:rsidRPr="00665806">
        <w:rPr>
          <w:rFonts w:ascii="Times New Roman" w:hAnsi="Times New Roman" w:cs="Times New Roman"/>
          <w:color w:val="1D1D1D"/>
          <w:sz w:val="24"/>
          <w:szCs w:val="24"/>
          <w:shd w:val="clear" w:color="auto" w:fill="FFFFFF"/>
        </w:rPr>
        <w:t xml:space="preserve"> of Texas has assassinated 573 individuals. More than almost any other governors in American </w:t>
      </w:r>
      <w:r w:rsidR="00EA5667" w:rsidRPr="00665806">
        <w:rPr>
          <w:rFonts w:ascii="Times New Roman" w:hAnsi="Times New Roman" w:cs="Times New Roman"/>
          <w:color w:val="1D1D1D"/>
          <w:sz w:val="24"/>
          <w:szCs w:val="24"/>
          <w:shd w:val="clear" w:color="auto" w:fill="FFFFFF"/>
        </w:rPr>
        <w:t>olden times</w:t>
      </w:r>
      <w:r w:rsidRPr="00665806">
        <w:rPr>
          <w:rFonts w:ascii="Times New Roman" w:hAnsi="Times New Roman" w:cs="Times New Roman"/>
          <w:color w:val="1D1D1D"/>
          <w:sz w:val="24"/>
          <w:szCs w:val="24"/>
          <w:shd w:val="clear" w:color="auto" w:fill="FFFFFF"/>
        </w:rPr>
        <w:t xml:space="preserve">, Texas </w:t>
      </w:r>
      <w:r w:rsidR="00EA5667" w:rsidRPr="00665806">
        <w:rPr>
          <w:rFonts w:ascii="Times New Roman" w:hAnsi="Times New Roman" w:cs="Times New Roman"/>
          <w:color w:val="1D1D1D"/>
          <w:sz w:val="24"/>
          <w:szCs w:val="24"/>
          <w:shd w:val="clear" w:color="auto" w:fill="FFFFFF"/>
        </w:rPr>
        <w:t>Ruler</w:t>
      </w:r>
      <w:r w:rsidRPr="00665806">
        <w:rPr>
          <w:rFonts w:ascii="Times New Roman" w:hAnsi="Times New Roman" w:cs="Times New Roman"/>
          <w:color w:val="1D1D1D"/>
          <w:sz w:val="24"/>
          <w:szCs w:val="24"/>
          <w:shd w:val="clear" w:color="auto" w:fill="FFFFFF"/>
        </w:rPr>
        <w:t xml:space="preserve"> Perry Rick (2001-2014) was </w:t>
      </w:r>
      <w:r w:rsidR="00EA5667" w:rsidRPr="00665806">
        <w:rPr>
          <w:rFonts w:ascii="Times New Roman" w:hAnsi="Times New Roman" w:cs="Times New Roman"/>
          <w:color w:val="1D1D1D"/>
          <w:sz w:val="24"/>
          <w:szCs w:val="24"/>
          <w:shd w:val="clear" w:color="auto" w:fill="FFFFFF"/>
        </w:rPr>
        <w:t>accountable</w:t>
      </w:r>
      <w:r w:rsidRPr="00665806">
        <w:rPr>
          <w:rFonts w:ascii="Times New Roman" w:hAnsi="Times New Roman" w:cs="Times New Roman"/>
          <w:color w:val="1D1D1D"/>
          <w:sz w:val="24"/>
          <w:szCs w:val="24"/>
          <w:shd w:val="clear" w:color="auto" w:fill="FFFFFF"/>
        </w:rPr>
        <w:t xml:space="preserve"> for 279 of them. In Texas, murders occurred in 2000, when 40 individuals were executed (Sorensen &amp; Reidy, 2017).</w:t>
      </w:r>
    </w:p>
    <w:p w:rsidR="009C6E73" w:rsidRDefault="008A66E6" w:rsidP="00154546">
      <w:pPr>
        <w:jc w:val="center"/>
        <w:rPr>
          <w:rFonts w:ascii="Times New Roman" w:hAnsi="Times New Roman" w:cs="Times New Roman"/>
          <w:b/>
          <w:color w:val="1D1D1D"/>
          <w:sz w:val="24"/>
          <w:szCs w:val="24"/>
          <w:shd w:val="clear" w:color="auto" w:fill="FFFFFF"/>
        </w:rPr>
      </w:pPr>
      <w:r w:rsidRPr="009C6E73">
        <w:rPr>
          <w:rFonts w:ascii="Times New Roman" w:hAnsi="Times New Roman" w:cs="Times New Roman"/>
          <w:b/>
          <w:color w:val="1D1D1D"/>
          <w:sz w:val="24"/>
          <w:szCs w:val="24"/>
          <w:shd w:val="clear" w:color="auto" w:fill="FFFFFF"/>
        </w:rPr>
        <w:t>Recommendations</w:t>
      </w:r>
    </w:p>
    <w:p w:rsidR="00665806" w:rsidRDefault="008A66E6" w:rsidP="00665806">
      <w:pPr>
        <w:ind w:firstLine="720"/>
        <w:rPr>
          <w:rFonts w:ascii="Times New Roman" w:hAnsi="Times New Roman" w:cs="Times New Roman"/>
          <w:color w:val="1D1D1D"/>
          <w:sz w:val="24"/>
          <w:szCs w:val="24"/>
          <w:shd w:val="clear" w:color="auto" w:fill="FFFFFF"/>
        </w:rPr>
      </w:pPr>
      <w:r w:rsidRPr="00665806">
        <w:rPr>
          <w:rFonts w:ascii="Times New Roman" w:hAnsi="Times New Roman" w:cs="Times New Roman"/>
          <w:color w:val="1D1D1D"/>
          <w:sz w:val="24"/>
          <w:szCs w:val="24"/>
          <w:shd w:val="clear" w:color="auto" w:fill="FFFFFF"/>
        </w:rPr>
        <w:t>This paper proposes ways to improve Texas' judicial system. It makes the following recommendations and solutions for improving Texas' judiciary's financing, administration, and structure after carefully analyzing Texas' judiciary and other judicial systems.</w:t>
      </w:r>
    </w:p>
    <w:p w:rsidR="000D48C4" w:rsidRDefault="008A66E6" w:rsidP="00665806">
      <w:pPr>
        <w:pStyle w:val="ListParagraph"/>
        <w:numPr>
          <w:ilvl w:val="0"/>
          <w:numId w:val="2"/>
        </w:numPr>
        <w:rPr>
          <w:rFonts w:ascii="Times New Roman" w:hAnsi="Times New Roman" w:cs="Times New Roman"/>
          <w:color w:val="1D1D1D"/>
          <w:sz w:val="24"/>
          <w:szCs w:val="24"/>
          <w:shd w:val="clear" w:color="auto" w:fill="FFFFFF"/>
        </w:rPr>
      </w:pPr>
      <w:r w:rsidRPr="00665806">
        <w:rPr>
          <w:rFonts w:ascii="Times New Roman" w:hAnsi="Times New Roman" w:cs="Times New Roman"/>
          <w:color w:val="1D1D1D"/>
          <w:sz w:val="24"/>
          <w:szCs w:val="24"/>
          <w:shd w:val="clear" w:color="auto" w:fill="FFFFFF"/>
        </w:rPr>
        <w:lastRenderedPageBreak/>
        <w:t>Investigate the possibility of combining Texas' two supreme courts into a particular court with criminal and civil authority (Blue &amp; Flynn, 2020).</w:t>
      </w:r>
    </w:p>
    <w:p w:rsidR="000D48C4" w:rsidRDefault="008A66E6" w:rsidP="00665806">
      <w:pPr>
        <w:pStyle w:val="ListParagraph"/>
        <w:numPr>
          <w:ilvl w:val="0"/>
          <w:numId w:val="2"/>
        </w:numPr>
        <w:rPr>
          <w:rFonts w:ascii="Times New Roman" w:hAnsi="Times New Roman" w:cs="Times New Roman"/>
          <w:color w:val="1D1D1D"/>
          <w:sz w:val="24"/>
          <w:szCs w:val="24"/>
          <w:shd w:val="clear" w:color="auto" w:fill="FFFFFF"/>
        </w:rPr>
      </w:pPr>
      <w:r w:rsidRPr="000D48C4">
        <w:rPr>
          <w:rFonts w:ascii="Times New Roman" w:hAnsi="Times New Roman" w:cs="Times New Roman"/>
          <w:color w:val="1D1D1D"/>
          <w:sz w:val="24"/>
          <w:szCs w:val="24"/>
          <w:shd w:val="clear" w:color="auto" w:fill="FFFFFF"/>
        </w:rPr>
        <w:t>If the Texas High Court and the Court of Felony Appellate do not combine, the complement of justices on both courts will be reduced from nine to seven.</w:t>
      </w:r>
    </w:p>
    <w:p w:rsidR="00665806" w:rsidRPr="000D48C4" w:rsidRDefault="008A66E6" w:rsidP="00665806">
      <w:pPr>
        <w:pStyle w:val="ListParagraph"/>
        <w:numPr>
          <w:ilvl w:val="0"/>
          <w:numId w:val="2"/>
        </w:numPr>
        <w:rPr>
          <w:rFonts w:ascii="Times New Roman" w:hAnsi="Times New Roman" w:cs="Times New Roman"/>
          <w:color w:val="1D1D1D"/>
          <w:sz w:val="24"/>
          <w:szCs w:val="24"/>
          <w:shd w:val="clear" w:color="auto" w:fill="FFFFFF"/>
        </w:rPr>
      </w:pPr>
      <w:r w:rsidRPr="000D48C4">
        <w:rPr>
          <w:rFonts w:ascii="Times New Roman" w:hAnsi="Times New Roman" w:cs="Times New Roman"/>
          <w:color w:val="1D1D1D"/>
          <w:sz w:val="24"/>
          <w:szCs w:val="24"/>
          <w:shd w:val="clear" w:color="auto" w:fill="FFFFFF"/>
        </w:rPr>
        <w:t>Delegate discretion authority in all civil appeal issues to the State Supreme Court.</w:t>
      </w: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0D48C4" w:rsidRDefault="000D48C4" w:rsidP="002460FB">
      <w:pPr>
        <w:jc w:val="center"/>
        <w:rPr>
          <w:rFonts w:ascii="Times New Roman" w:hAnsi="Times New Roman" w:cs="Times New Roman"/>
          <w:b/>
          <w:color w:val="1D1D1D"/>
          <w:sz w:val="24"/>
          <w:szCs w:val="24"/>
          <w:shd w:val="clear" w:color="auto" w:fill="FFFFFF"/>
        </w:rPr>
      </w:pPr>
    </w:p>
    <w:p w:rsidR="002460FB" w:rsidRDefault="008A66E6" w:rsidP="002460FB">
      <w:pPr>
        <w:jc w:val="center"/>
        <w:rPr>
          <w:rFonts w:ascii="Times New Roman" w:hAnsi="Times New Roman" w:cs="Times New Roman"/>
          <w:b/>
          <w:color w:val="1D1D1D"/>
          <w:sz w:val="24"/>
          <w:szCs w:val="24"/>
          <w:shd w:val="clear" w:color="auto" w:fill="FFFFFF"/>
        </w:rPr>
      </w:pPr>
      <w:r w:rsidRPr="002460FB">
        <w:rPr>
          <w:rFonts w:ascii="Times New Roman" w:hAnsi="Times New Roman" w:cs="Times New Roman"/>
          <w:b/>
          <w:color w:val="1D1D1D"/>
          <w:sz w:val="24"/>
          <w:szCs w:val="24"/>
          <w:shd w:val="clear" w:color="auto" w:fill="FFFFFF"/>
        </w:rPr>
        <w:lastRenderedPageBreak/>
        <w:t>References</w:t>
      </w:r>
    </w:p>
    <w:p w:rsidR="00BC61B5" w:rsidRPr="003B15DE" w:rsidRDefault="00BC61B5" w:rsidP="00BC61B5">
      <w:pPr>
        <w:ind w:left="720" w:hanging="720"/>
        <w:rPr>
          <w:rFonts w:ascii="Times New Roman" w:hAnsi="Times New Roman" w:cs="Times New Roman"/>
          <w:color w:val="1D1D1D"/>
          <w:sz w:val="24"/>
          <w:szCs w:val="24"/>
          <w:shd w:val="clear" w:color="auto" w:fill="FFFFFF"/>
        </w:rPr>
      </w:pPr>
      <w:proofErr w:type="gramStart"/>
      <w:r w:rsidRPr="00BC61B5">
        <w:rPr>
          <w:rFonts w:ascii="Times New Roman" w:hAnsi="Times New Roman" w:cs="Times New Roman"/>
          <w:color w:val="1D1D1D"/>
          <w:sz w:val="24"/>
          <w:szCs w:val="24"/>
          <w:shd w:val="clear" w:color="auto" w:fill="FFFFFF"/>
        </w:rPr>
        <w:t xml:space="preserve">Blue, S. A., </w:t>
      </w:r>
      <w:proofErr w:type="spellStart"/>
      <w:r w:rsidRPr="00BC61B5">
        <w:rPr>
          <w:rFonts w:ascii="Times New Roman" w:hAnsi="Times New Roman" w:cs="Times New Roman"/>
          <w:color w:val="1D1D1D"/>
          <w:sz w:val="24"/>
          <w:szCs w:val="24"/>
          <w:shd w:val="clear" w:color="auto" w:fill="FFFFFF"/>
        </w:rPr>
        <w:t>Hartsell</w:t>
      </w:r>
      <w:proofErr w:type="spellEnd"/>
      <w:r w:rsidRPr="00BC61B5">
        <w:rPr>
          <w:rFonts w:ascii="Times New Roman" w:hAnsi="Times New Roman" w:cs="Times New Roman"/>
          <w:color w:val="1D1D1D"/>
          <w:sz w:val="24"/>
          <w:szCs w:val="24"/>
          <w:shd w:val="clear" w:color="auto" w:fill="FFFFFF"/>
        </w:rPr>
        <w:t>, A., Torres, R., &amp; Flynn, P. (2020).</w:t>
      </w:r>
      <w:proofErr w:type="gramEnd"/>
      <w:r w:rsidRPr="00BC61B5">
        <w:rPr>
          <w:rFonts w:ascii="Times New Roman" w:hAnsi="Times New Roman" w:cs="Times New Roman"/>
          <w:color w:val="1D1D1D"/>
          <w:sz w:val="24"/>
          <w:szCs w:val="24"/>
          <w:shd w:val="clear" w:color="auto" w:fill="FFFFFF"/>
        </w:rPr>
        <w:t xml:space="preserve"> The uneven geography of asylum and humanitarian relief: place-based </w:t>
      </w:r>
      <w:proofErr w:type="spellStart"/>
      <w:r w:rsidRPr="00BC61B5">
        <w:rPr>
          <w:rFonts w:ascii="Times New Roman" w:hAnsi="Times New Roman" w:cs="Times New Roman"/>
          <w:color w:val="1D1D1D"/>
          <w:sz w:val="24"/>
          <w:szCs w:val="24"/>
          <w:shd w:val="clear" w:color="auto" w:fill="FFFFFF"/>
        </w:rPr>
        <w:t>precarity</w:t>
      </w:r>
      <w:proofErr w:type="spellEnd"/>
      <w:r w:rsidRPr="00BC61B5">
        <w:rPr>
          <w:rFonts w:ascii="Times New Roman" w:hAnsi="Times New Roman" w:cs="Times New Roman"/>
          <w:color w:val="1D1D1D"/>
          <w:sz w:val="24"/>
          <w:szCs w:val="24"/>
          <w:shd w:val="clear" w:color="auto" w:fill="FFFFFF"/>
        </w:rPr>
        <w:t xml:space="preserve"> for Central American migrant youth in the United States judicial system. Journal of Ethnic and Migration Studies, 1-20. Retrieved from: </w:t>
      </w:r>
      <w:hyperlink r:id="rId8" w:history="1">
        <w:r w:rsidRPr="00BC61B5">
          <w:rPr>
            <w:rStyle w:val="Hyperlink"/>
            <w:rFonts w:ascii="Times New Roman" w:hAnsi="Times New Roman" w:cs="Times New Roman"/>
            <w:sz w:val="24"/>
            <w:szCs w:val="24"/>
            <w:shd w:val="clear" w:color="auto" w:fill="FFFFFF"/>
          </w:rPr>
          <w:t>https://www.tandfonline.com/doi/abs/10.1080/1369183X.2020.1732588</w:t>
        </w:r>
      </w:hyperlink>
      <w:r>
        <w:rPr>
          <w:rFonts w:ascii="Times New Roman" w:hAnsi="Times New Roman" w:cs="Times New Roman"/>
          <w:color w:val="1D1D1D"/>
          <w:sz w:val="24"/>
          <w:szCs w:val="24"/>
          <w:shd w:val="clear" w:color="auto" w:fill="FFFFFF"/>
        </w:rPr>
        <w:t xml:space="preserve">   </w:t>
      </w:r>
    </w:p>
    <w:p w:rsidR="00BC61B5" w:rsidRPr="00BC61B5" w:rsidRDefault="00BC61B5" w:rsidP="00BC61B5">
      <w:pPr>
        <w:ind w:left="720" w:hanging="720"/>
        <w:rPr>
          <w:rFonts w:ascii="Times New Roman" w:hAnsi="Times New Roman" w:cs="Times New Roman"/>
          <w:color w:val="1D1D1D"/>
          <w:sz w:val="24"/>
          <w:szCs w:val="24"/>
          <w:shd w:val="clear" w:color="auto" w:fill="FFFFFF"/>
        </w:rPr>
      </w:pPr>
      <w:proofErr w:type="gramStart"/>
      <w:r w:rsidRPr="00BC61B5">
        <w:rPr>
          <w:rFonts w:ascii="Times New Roman" w:hAnsi="Times New Roman" w:cs="Times New Roman"/>
          <w:color w:val="1D1D1D"/>
          <w:sz w:val="24"/>
          <w:szCs w:val="24"/>
          <w:shd w:val="clear" w:color="auto" w:fill="FFFFFF"/>
        </w:rPr>
        <w:t xml:space="preserve">Schneider, A. K., &amp; </w:t>
      </w:r>
      <w:proofErr w:type="spellStart"/>
      <w:r w:rsidRPr="00BC61B5">
        <w:rPr>
          <w:rFonts w:ascii="Times New Roman" w:hAnsi="Times New Roman" w:cs="Times New Roman"/>
          <w:color w:val="1D1D1D"/>
          <w:sz w:val="24"/>
          <w:szCs w:val="24"/>
          <w:shd w:val="clear" w:color="auto" w:fill="FFFFFF"/>
        </w:rPr>
        <w:t>Alkon</w:t>
      </w:r>
      <w:proofErr w:type="spellEnd"/>
      <w:r w:rsidRPr="00BC61B5">
        <w:rPr>
          <w:rFonts w:ascii="Times New Roman" w:hAnsi="Times New Roman" w:cs="Times New Roman"/>
          <w:color w:val="1D1D1D"/>
          <w:sz w:val="24"/>
          <w:szCs w:val="24"/>
          <w:shd w:val="clear" w:color="auto" w:fill="FFFFFF"/>
        </w:rPr>
        <w:t>, C. (2019).</w:t>
      </w:r>
      <w:proofErr w:type="gramEnd"/>
      <w:r w:rsidRPr="00BC61B5">
        <w:rPr>
          <w:rFonts w:ascii="Times New Roman" w:hAnsi="Times New Roman" w:cs="Times New Roman"/>
          <w:color w:val="1D1D1D"/>
          <w:sz w:val="24"/>
          <w:szCs w:val="24"/>
          <w:shd w:val="clear" w:color="auto" w:fill="FFFFFF"/>
        </w:rPr>
        <w:t xml:space="preserve"> </w:t>
      </w:r>
      <w:proofErr w:type="gramStart"/>
      <w:r w:rsidRPr="00BC61B5">
        <w:rPr>
          <w:rFonts w:ascii="Times New Roman" w:hAnsi="Times New Roman" w:cs="Times New Roman"/>
          <w:color w:val="1D1D1D"/>
          <w:sz w:val="24"/>
          <w:szCs w:val="24"/>
          <w:shd w:val="clear" w:color="auto" w:fill="FFFFFF"/>
        </w:rPr>
        <w:t>Bargaining in the dark: The need for transparency and data in plea bargaining.</w:t>
      </w:r>
      <w:proofErr w:type="gramEnd"/>
      <w:r w:rsidRPr="00BC61B5">
        <w:rPr>
          <w:rFonts w:ascii="Times New Roman" w:hAnsi="Times New Roman" w:cs="Times New Roman"/>
          <w:color w:val="1D1D1D"/>
          <w:sz w:val="24"/>
          <w:szCs w:val="24"/>
          <w:shd w:val="clear" w:color="auto" w:fill="FFFFFF"/>
        </w:rPr>
        <w:t xml:space="preserve"> New Criminal Law Review, 22(4), 434-493. Retrieved from: </w:t>
      </w:r>
      <w:hyperlink r:id="rId9" w:history="1">
        <w:r w:rsidRPr="00BC61B5">
          <w:rPr>
            <w:rStyle w:val="Hyperlink"/>
            <w:rFonts w:ascii="Times New Roman" w:hAnsi="Times New Roman" w:cs="Times New Roman"/>
            <w:sz w:val="24"/>
            <w:szCs w:val="24"/>
            <w:shd w:val="clear" w:color="auto" w:fill="FFFFFF"/>
          </w:rPr>
          <w:t>https://online.ucpress.edu/nclr/article-abstract/22/4/434/109843/Bargaining-in-the-DarkThe-Need-for-Transparency</w:t>
        </w:r>
      </w:hyperlink>
      <w:r w:rsidRPr="00BC61B5">
        <w:rPr>
          <w:rFonts w:ascii="Times New Roman" w:hAnsi="Times New Roman" w:cs="Times New Roman"/>
          <w:color w:val="1D1D1D"/>
          <w:sz w:val="24"/>
          <w:szCs w:val="24"/>
          <w:shd w:val="clear" w:color="auto" w:fill="FFFFFF"/>
        </w:rPr>
        <w:t xml:space="preserve"> </w:t>
      </w:r>
    </w:p>
    <w:p w:rsidR="00BC61B5" w:rsidRPr="00BC61B5" w:rsidRDefault="00BC61B5" w:rsidP="00BC61B5">
      <w:pPr>
        <w:ind w:left="720" w:hanging="720"/>
        <w:rPr>
          <w:rFonts w:ascii="Times New Roman" w:hAnsi="Times New Roman" w:cs="Times New Roman"/>
          <w:color w:val="1D1D1D"/>
          <w:sz w:val="24"/>
          <w:szCs w:val="24"/>
          <w:shd w:val="clear" w:color="auto" w:fill="FFFFFF"/>
        </w:rPr>
      </w:pPr>
      <w:proofErr w:type="gramStart"/>
      <w:r w:rsidRPr="00BC61B5">
        <w:rPr>
          <w:rFonts w:ascii="Times New Roman" w:hAnsi="Times New Roman" w:cs="Times New Roman"/>
          <w:color w:val="1D1D1D"/>
          <w:sz w:val="24"/>
          <w:szCs w:val="24"/>
          <w:shd w:val="clear" w:color="auto" w:fill="FFFFFF"/>
        </w:rPr>
        <w:t xml:space="preserve">Solberg, R. S., &amp; </w:t>
      </w:r>
      <w:proofErr w:type="spellStart"/>
      <w:r w:rsidRPr="00BC61B5">
        <w:rPr>
          <w:rFonts w:ascii="Times New Roman" w:hAnsi="Times New Roman" w:cs="Times New Roman"/>
          <w:color w:val="1D1D1D"/>
          <w:sz w:val="24"/>
          <w:szCs w:val="24"/>
          <w:shd w:val="clear" w:color="auto" w:fill="FFFFFF"/>
        </w:rPr>
        <w:t>Diascro</w:t>
      </w:r>
      <w:proofErr w:type="spellEnd"/>
      <w:r w:rsidRPr="00BC61B5">
        <w:rPr>
          <w:rFonts w:ascii="Times New Roman" w:hAnsi="Times New Roman" w:cs="Times New Roman"/>
          <w:color w:val="1D1D1D"/>
          <w:sz w:val="24"/>
          <w:szCs w:val="24"/>
          <w:shd w:val="clear" w:color="auto" w:fill="FFFFFF"/>
        </w:rPr>
        <w:t>, J. S. (2018).</w:t>
      </w:r>
      <w:proofErr w:type="gramEnd"/>
      <w:r w:rsidRPr="00BC61B5">
        <w:rPr>
          <w:rFonts w:ascii="Times New Roman" w:hAnsi="Times New Roman" w:cs="Times New Roman"/>
          <w:color w:val="1D1D1D"/>
          <w:sz w:val="24"/>
          <w:szCs w:val="24"/>
          <w:shd w:val="clear" w:color="auto" w:fill="FFFFFF"/>
        </w:rPr>
        <w:t xml:space="preserve"> A retrospective on Obama’s judges: diversity, intersectionality, and symbolic representation. </w:t>
      </w:r>
      <w:proofErr w:type="gramStart"/>
      <w:r w:rsidRPr="00BC61B5">
        <w:rPr>
          <w:rFonts w:ascii="Times New Roman" w:hAnsi="Times New Roman" w:cs="Times New Roman"/>
          <w:color w:val="1D1D1D"/>
          <w:sz w:val="24"/>
          <w:szCs w:val="24"/>
          <w:shd w:val="clear" w:color="auto" w:fill="FFFFFF"/>
        </w:rPr>
        <w:t>Politics, Groups, and Identities.</w:t>
      </w:r>
      <w:proofErr w:type="gramEnd"/>
      <w:r w:rsidRPr="00BC61B5">
        <w:rPr>
          <w:rFonts w:ascii="Times New Roman" w:hAnsi="Times New Roman" w:cs="Times New Roman"/>
          <w:color w:val="1D1D1D"/>
          <w:sz w:val="24"/>
          <w:szCs w:val="24"/>
          <w:shd w:val="clear" w:color="auto" w:fill="FFFFFF"/>
        </w:rPr>
        <w:t xml:space="preserve"> Retrieved from: </w:t>
      </w:r>
      <w:hyperlink r:id="rId10" w:history="1">
        <w:r w:rsidRPr="00BC61B5">
          <w:rPr>
            <w:rStyle w:val="Hyperlink"/>
            <w:rFonts w:ascii="Times New Roman" w:hAnsi="Times New Roman" w:cs="Times New Roman"/>
            <w:sz w:val="24"/>
            <w:szCs w:val="24"/>
            <w:shd w:val="clear" w:color="auto" w:fill="FFFFFF"/>
          </w:rPr>
          <w:t>https://www.tandfonline.com/doi/10.1080/21565503.2018.1478736</w:t>
        </w:r>
      </w:hyperlink>
      <w:r w:rsidRPr="00BC61B5">
        <w:rPr>
          <w:rFonts w:ascii="Times New Roman" w:hAnsi="Times New Roman" w:cs="Times New Roman"/>
          <w:color w:val="1D1D1D"/>
          <w:sz w:val="24"/>
          <w:szCs w:val="24"/>
          <w:shd w:val="clear" w:color="auto" w:fill="FFFFFF"/>
        </w:rPr>
        <w:t xml:space="preserve"> </w:t>
      </w:r>
    </w:p>
    <w:p w:rsidR="00BC61B5" w:rsidRPr="00BC61B5" w:rsidRDefault="00BC61B5" w:rsidP="00BC61B5">
      <w:pPr>
        <w:ind w:left="720" w:hanging="720"/>
        <w:rPr>
          <w:rFonts w:ascii="Times New Roman" w:hAnsi="Times New Roman" w:cs="Times New Roman"/>
          <w:color w:val="1D1D1D"/>
          <w:sz w:val="24"/>
          <w:szCs w:val="24"/>
          <w:shd w:val="clear" w:color="auto" w:fill="FFFFFF"/>
        </w:rPr>
      </w:pPr>
      <w:proofErr w:type="gramStart"/>
      <w:r w:rsidRPr="00BC61B5">
        <w:rPr>
          <w:rFonts w:ascii="Times New Roman" w:hAnsi="Times New Roman" w:cs="Times New Roman"/>
          <w:color w:val="1D1D1D"/>
          <w:sz w:val="24"/>
          <w:szCs w:val="24"/>
          <w:shd w:val="clear" w:color="auto" w:fill="FFFFFF"/>
        </w:rPr>
        <w:t>Sorensen, J. R., &amp; Reidy, T. J. (2017).</w:t>
      </w:r>
      <w:proofErr w:type="gramEnd"/>
      <w:r w:rsidRPr="00BC61B5">
        <w:rPr>
          <w:rFonts w:ascii="Times New Roman" w:hAnsi="Times New Roman" w:cs="Times New Roman"/>
          <w:color w:val="1D1D1D"/>
          <w:sz w:val="24"/>
          <w:szCs w:val="24"/>
          <w:shd w:val="clear" w:color="auto" w:fill="FFFFFF"/>
        </w:rPr>
        <w:t xml:space="preserve"> </w:t>
      </w:r>
      <w:proofErr w:type="gramStart"/>
      <w:r w:rsidRPr="00BC61B5">
        <w:rPr>
          <w:rFonts w:ascii="Times New Roman" w:hAnsi="Times New Roman" w:cs="Times New Roman"/>
          <w:color w:val="1D1D1D"/>
          <w:sz w:val="24"/>
          <w:szCs w:val="24"/>
          <w:shd w:val="clear" w:color="auto" w:fill="FFFFFF"/>
        </w:rPr>
        <w:t>Incapacitation and life without parole.</w:t>
      </w:r>
      <w:proofErr w:type="gramEnd"/>
      <w:r w:rsidRPr="00BC61B5">
        <w:rPr>
          <w:rFonts w:ascii="Times New Roman" w:hAnsi="Times New Roman" w:cs="Times New Roman"/>
          <w:color w:val="1D1D1D"/>
          <w:sz w:val="24"/>
          <w:szCs w:val="24"/>
          <w:shd w:val="clear" w:color="auto" w:fill="FFFFFF"/>
        </w:rPr>
        <w:t xml:space="preserve"> </w:t>
      </w:r>
      <w:proofErr w:type="gramStart"/>
      <w:r w:rsidRPr="00BC61B5">
        <w:rPr>
          <w:rFonts w:ascii="Times New Roman" w:hAnsi="Times New Roman" w:cs="Times New Roman"/>
          <w:color w:val="1D1D1D"/>
          <w:sz w:val="24"/>
          <w:szCs w:val="24"/>
          <w:shd w:val="clear" w:color="auto" w:fill="FFFFFF"/>
        </w:rPr>
        <w:t>In Routledge handbook on capital punishment (pp. 183-198).</w:t>
      </w:r>
      <w:proofErr w:type="gramEnd"/>
      <w:r w:rsidRPr="00BC61B5">
        <w:rPr>
          <w:rFonts w:ascii="Times New Roman" w:hAnsi="Times New Roman" w:cs="Times New Roman"/>
          <w:color w:val="1D1D1D"/>
          <w:sz w:val="24"/>
          <w:szCs w:val="24"/>
          <w:shd w:val="clear" w:color="auto" w:fill="FFFFFF"/>
        </w:rPr>
        <w:t xml:space="preserve"> </w:t>
      </w:r>
      <w:proofErr w:type="gramStart"/>
      <w:r w:rsidRPr="00BC61B5">
        <w:rPr>
          <w:rFonts w:ascii="Times New Roman" w:hAnsi="Times New Roman" w:cs="Times New Roman"/>
          <w:color w:val="1D1D1D"/>
          <w:sz w:val="24"/>
          <w:szCs w:val="24"/>
          <w:shd w:val="clear" w:color="auto" w:fill="FFFFFF"/>
        </w:rPr>
        <w:t>Routledge.</w:t>
      </w:r>
      <w:proofErr w:type="gramEnd"/>
      <w:r w:rsidRPr="00BC61B5">
        <w:rPr>
          <w:rFonts w:ascii="Times New Roman" w:hAnsi="Times New Roman" w:cs="Times New Roman"/>
          <w:color w:val="1D1D1D"/>
          <w:sz w:val="24"/>
          <w:szCs w:val="24"/>
          <w:shd w:val="clear" w:color="auto" w:fill="FFFFFF"/>
        </w:rPr>
        <w:t xml:space="preserve"> Retrieved from: </w:t>
      </w:r>
      <w:hyperlink r:id="rId11" w:history="1">
        <w:r w:rsidRPr="00BC61B5">
          <w:rPr>
            <w:rStyle w:val="Hyperlink"/>
            <w:rFonts w:ascii="Times New Roman" w:hAnsi="Times New Roman" w:cs="Times New Roman"/>
            <w:sz w:val="24"/>
            <w:szCs w:val="24"/>
            <w:shd w:val="clear" w:color="auto" w:fill="FFFFFF"/>
          </w:rPr>
          <w:t>https://www.taylorfrancis.com/chapters/edit/10.4324/9781315624723-11/incapacitation-life-without-parole-jonathan-sorensen-thomas-reidy</w:t>
        </w:r>
      </w:hyperlink>
      <w:r w:rsidRPr="00BC61B5">
        <w:rPr>
          <w:rFonts w:ascii="Times New Roman" w:hAnsi="Times New Roman" w:cs="Times New Roman"/>
          <w:color w:val="1D1D1D"/>
          <w:sz w:val="24"/>
          <w:szCs w:val="24"/>
          <w:shd w:val="clear" w:color="auto" w:fill="FFFFFF"/>
        </w:rPr>
        <w:t xml:space="preserve"> </w:t>
      </w:r>
    </w:p>
    <w:sectPr w:rsidR="00BC61B5" w:rsidRPr="00BC61B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442" w:rsidRDefault="008D4442" w:rsidP="00BC61B5">
      <w:pPr>
        <w:spacing w:line="240" w:lineRule="auto"/>
      </w:pPr>
      <w:r>
        <w:separator/>
      </w:r>
    </w:p>
  </w:endnote>
  <w:endnote w:type="continuationSeparator" w:id="0">
    <w:p w:rsidR="008D4442" w:rsidRDefault="008D4442" w:rsidP="00BC61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442" w:rsidRDefault="008D4442" w:rsidP="00BC61B5">
      <w:pPr>
        <w:spacing w:line="240" w:lineRule="auto"/>
      </w:pPr>
      <w:r>
        <w:separator/>
      </w:r>
    </w:p>
  </w:footnote>
  <w:footnote w:type="continuationSeparator" w:id="0">
    <w:p w:rsidR="008D4442" w:rsidRDefault="008D4442" w:rsidP="00BC61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34899"/>
      <w:docPartObj>
        <w:docPartGallery w:val="Page Numbers (Top of Page)"/>
        <w:docPartUnique/>
      </w:docPartObj>
    </w:sdtPr>
    <w:sdtEndPr>
      <w:rPr>
        <w:noProof/>
      </w:rPr>
    </w:sdtEndPr>
    <w:sdtContent>
      <w:p w:rsidR="00BC61B5" w:rsidRDefault="00BC61B5">
        <w:pPr>
          <w:pStyle w:val="Header"/>
          <w:jc w:val="right"/>
        </w:pPr>
        <w:r>
          <w:fldChar w:fldCharType="begin"/>
        </w:r>
        <w:r>
          <w:instrText xml:space="preserve"> PAGE   \* MERGEFORMAT </w:instrText>
        </w:r>
        <w:r>
          <w:fldChar w:fldCharType="separate"/>
        </w:r>
        <w:r w:rsidR="00154546">
          <w:rPr>
            <w:noProof/>
          </w:rPr>
          <w:t>5</w:t>
        </w:r>
        <w:r>
          <w:rPr>
            <w:noProof/>
          </w:rPr>
          <w:fldChar w:fldCharType="end"/>
        </w:r>
      </w:p>
    </w:sdtContent>
  </w:sdt>
  <w:p w:rsidR="00BC61B5" w:rsidRDefault="00BC61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6E1A4C"/>
    <w:multiLevelType w:val="hybridMultilevel"/>
    <w:tmpl w:val="1AD6E576"/>
    <w:lvl w:ilvl="0" w:tplc="0AD87382">
      <w:start w:val="1"/>
      <w:numFmt w:val="bullet"/>
      <w:lvlText w:val=""/>
      <w:lvlJc w:val="left"/>
      <w:pPr>
        <w:ind w:left="1440" w:hanging="360"/>
      </w:pPr>
      <w:rPr>
        <w:rFonts w:ascii="Symbol" w:hAnsi="Symbol" w:hint="default"/>
      </w:rPr>
    </w:lvl>
    <w:lvl w:ilvl="1" w:tplc="C902CD96" w:tentative="1">
      <w:start w:val="1"/>
      <w:numFmt w:val="bullet"/>
      <w:lvlText w:val="o"/>
      <w:lvlJc w:val="left"/>
      <w:pPr>
        <w:ind w:left="2160" w:hanging="360"/>
      </w:pPr>
      <w:rPr>
        <w:rFonts w:ascii="Courier New" w:hAnsi="Courier New" w:cs="Courier New" w:hint="default"/>
      </w:rPr>
    </w:lvl>
    <w:lvl w:ilvl="2" w:tplc="AB3C98A8" w:tentative="1">
      <w:start w:val="1"/>
      <w:numFmt w:val="bullet"/>
      <w:lvlText w:val=""/>
      <w:lvlJc w:val="left"/>
      <w:pPr>
        <w:ind w:left="2880" w:hanging="360"/>
      </w:pPr>
      <w:rPr>
        <w:rFonts w:ascii="Wingdings" w:hAnsi="Wingdings" w:hint="default"/>
      </w:rPr>
    </w:lvl>
    <w:lvl w:ilvl="3" w:tplc="CB40FEE6" w:tentative="1">
      <w:start w:val="1"/>
      <w:numFmt w:val="bullet"/>
      <w:lvlText w:val=""/>
      <w:lvlJc w:val="left"/>
      <w:pPr>
        <w:ind w:left="3600" w:hanging="360"/>
      </w:pPr>
      <w:rPr>
        <w:rFonts w:ascii="Symbol" w:hAnsi="Symbol" w:hint="default"/>
      </w:rPr>
    </w:lvl>
    <w:lvl w:ilvl="4" w:tplc="4A680D3E" w:tentative="1">
      <w:start w:val="1"/>
      <w:numFmt w:val="bullet"/>
      <w:lvlText w:val="o"/>
      <w:lvlJc w:val="left"/>
      <w:pPr>
        <w:ind w:left="4320" w:hanging="360"/>
      </w:pPr>
      <w:rPr>
        <w:rFonts w:ascii="Courier New" w:hAnsi="Courier New" w:cs="Courier New" w:hint="default"/>
      </w:rPr>
    </w:lvl>
    <w:lvl w:ilvl="5" w:tplc="4E08DE12" w:tentative="1">
      <w:start w:val="1"/>
      <w:numFmt w:val="bullet"/>
      <w:lvlText w:val=""/>
      <w:lvlJc w:val="left"/>
      <w:pPr>
        <w:ind w:left="5040" w:hanging="360"/>
      </w:pPr>
      <w:rPr>
        <w:rFonts w:ascii="Wingdings" w:hAnsi="Wingdings" w:hint="default"/>
      </w:rPr>
    </w:lvl>
    <w:lvl w:ilvl="6" w:tplc="DA860A94" w:tentative="1">
      <w:start w:val="1"/>
      <w:numFmt w:val="bullet"/>
      <w:lvlText w:val=""/>
      <w:lvlJc w:val="left"/>
      <w:pPr>
        <w:ind w:left="5760" w:hanging="360"/>
      </w:pPr>
      <w:rPr>
        <w:rFonts w:ascii="Symbol" w:hAnsi="Symbol" w:hint="default"/>
      </w:rPr>
    </w:lvl>
    <w:lvl w:ilvl="7" w:tplc="4F3658CE" w:tentative="1">
      <w:start w:val="1"/>
      <w:numFmt w:val="bullet"/>
      <w:lvlText w:val="o"/>
      <w:lvlJc w:val="left"/>
      <w:pPr>
        <w:ind w:left="6480" w:hanging="360"/>
      </w:pPr>
      <w:rPr>
        <w:rFonts w:ascii="Courier New" w:hAnsi="Courier New" w:cs="Courier New" w:hint="default"/>
      </w:rPr>
    </w:lvl>
    <w:lvl w:ilvl="8" w:tplc="3252C0E0" w:tentative="1">
      <w:start w:val="1"/>
      <w:numFmt w:val="bullet"/>
      <w:lvlText w:val=""/>
      <w:lvlJc w:val="left"/>
      <w:pPr>
        <w:ind w:left="7200" w:hanging="360"/>
      </w:pPr>
      <w:rPr>
        <w:rFonts w:ascii="Wingdings" w:hAnsi="Wingdings" w:hint="default"/>
      </w:rPr>
    </w:lvl>
  </w:abstractNum>
  <w:abstractNum w:abstractNumId="1">
    <w:nsid w:val="77107041"/>
    <w:multiLevelType w:val="hybridMultilevel"/>
    <w:tmpl w:val="9BB860E2"/>
    <w:lvl w:ilvl="0" w:tplc="1CB261C6">
      <w:start w:val="1"/>
      <w:numFmt w:val="bullet"/>
      <w:lvlText w:val=""/>
      <w:lvlJc w:val="left"/>
      <w:pPr>
        <w:ind w:left="720" w:hanging="360"/>
      </w:pPr>
      <w:rPr>
        <w:rFonts w:ascii="Symbol" w:hAnsi="Symbol" w:hint="default"/>
      </w:rPr>
    </w:lvl>
    <w:lvl w:ilvl="1" w:tplc="4B6027C4" w:tentative="1">
      <w:start w:val="1"/>
      <w:numFmt w:val="bullet"/>
      <w:lvlText w:val="o"/>
      <w:lvlJc w:val="left"/>
      <w:pPr>
        <w:ind w:left="1440" w:hanging="360"/>
      </w:pPr>
      <w:rPr>
        <w:rFonts w:ascii="Courier New" w:hAnsi="Courier New" w:cs="Courier New" w:hint="default"/>
      </w:rPr>
    </w:lvl>
    <w:lvl w:ilvl="2" w:tplc="D8BC41D0" w:tentative="1">
      <w:start w:val="1"/>
      <w:numFmt w:val="bullet"/>
      <w:lvlText w:val=""/>
      <w:lvlJc w:val="left"/>
      <w:pPr>
        <w:ind w:left="2160" w:hanging="360"/>
      </w:pPr>
      <w:rPr>
        <w:rFonts w:ascii="Wingdings" w:hAnsi="Wingdings" w:hint="default"/>
      </w:rPr>
    </w:lvl>
    <w:lvl w:ilvl="3" w:tplc="52FCDDD8" w:tentative="1">
      <w:start w:val="1"/>
      <w:numFmt w:val="bullet"/>
      <w:lvlText w:val=""/>
      <w:lvlJc w:val="left"/>
      <w:pPr>
        <w:ind w:left="2880" w:hanging="360"/>
      </w:pPr>
      <w:rPr>
        <w:rFonts w:ascii="Symbol" w:hAnsi="Symbol" w:hint="default"/>
      </w:rPr>
    </w:lvl>
    <w:lvl w:ilvl="4" w:tplc="6BF4075E" w:tentative="1">
      <w:start w:val="1"/>
      <w:numFmt w:val="bullet"/>
      <w:lvlText w:val="o"/>
      <w:lvlJc w:val="left"/>
      <w:pPr>
        <w:ind w:left="3600" w:hanging="360"/>
      </w:pPr>
      <w:rPr>
        <w:rFonts w:ascii="Courier New" w:hAnsi="Courier New" w:cs="Courier New" w:hint="default"/>
      </w:rPr>
    </w:lvl>
    <w:lvl w:ilvl="5" w:tplc="F61C4368" w:tentative="1">
      <w:start w:val="1"/>
      <w:numFmt w:val="bullet"/>
      <w:lvlText w:val=""/>
      <w:lvlJc w:val="left"/>
      <w:pPr>
        <w:ind w:left="4320" w:hanging="360"/>
      </w:pPr>
      <w:rPr>
        <w:rFonts w:ascii="Wingdings" w:hAnsi="Wingdings" w:hint="default"/>
      </w:rPr>
    </w:lvl>
    <w:lvl w:ilvl="6" w:tplc="4894D870" w:tentative="1">
      <w:start w:val="1"/>
      <w:numFmt w:val="bullet"/>
      <w:lvlText w:val=""/>
      <w:lvlJc w:val="left"/>
      <w:pPr>
        <w:ind w:left="5040" w:hanging="360"/>
      </w:pPr>
      <w:rPr>
        <w:rFonts w:ascii="Symbol" w:hAnsi="Symbol" w:hint="default"/>
      </w:rPr>
    </w:lvl>
    <w:lvl w:ilvl="7" w:tplc="C0A87736" w:tentative="1">
      <w:start w:val="1"/>
      <w:numFmt w:val="bullet"/>
      <w:lvlText w:val="o"/>
      <w:lvlJc w:val="left"/>
      <w:pPr>
        <w:ind w:left="5760" w:hanging="360"/>
      </w:pPr>
      <w:rPr>
        <w:rFonts w:ascii="Courier New" w:hAnsi="Courier New" w:cs="Courier New" w:hint="default"/>
      </w:rPr>
    </w:lvl>
    <w:lvl w:ilvl="8" w:tplc="E3B2D8B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9F8"/>
    <w:rsid w:val="00003CCB"/>
    <w:rsid w:val="000536F4"/>
    <w:rsid w:val="000B6FF3"/>
    <w:rsid w:val="000D48C4"/>
    <w:rsid w:val="00154546"/>
    <w:rsid w:val="00162EF5"/>
    <w:rsid w:val="002460FB"/>
    <w:rsid w:val="002B25DA"/>
    <w:rsid w:val="00377760"/>
    <w:rsid w:val="003B15DE"/>
    <w:rsid w:val="00631EBD"/>
    <w:rsid w:val="00665806"/>
    <w:rsid w:val="008A66E6"/>
    <w:rsid w:val="008D4442"/>
    <w:rsid w:val="008D484D"/>
    <w:rsid w:val="008D79F8"/>
    <w:rsid w:val="009C6E73"/>
    <w:rsid w:val="00BC61B5"/>
    <w:rsid w:val="00DB3C7B"/>
    <w:rsid w:val="00E11BF4"/>
    <w:rsid w:val="00EA5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E73"/>
    <w:pPr>
      <w:ind w:left="720"/>
      <w:contextualSpacing/>
    </w:pPr>
  </w:style>
  <w:style w:type="character" w:styleId="Hyperlink">
    <w:name w:val="Hyperlink"/>
    <w:basedOn w:val="DefaultParagraphFont"/>
    <w:uiPriority w:val="99"/>
    <w:unhideWhenUsed/>
    <w:rsid w:val="00631EBD"/>
    <w:rPr>
      <w:color w:val="0000FF" w:themeColor="hyperlink"/>
      <w:u w:val="single"/>
    </w:rPr>
  </w:style>
  <w:style w:type="paragraph" w:styleId="Header">
    <w:name w:val="header"/>
    <w:basedOn w:val="Normal"/>
    <w:link w:val="HeaderChar"/>
    <w:uiPriority w:val="99"/>
    <w:unhideWhenUsed/>
    <w:rsid w:val="00BC61B5"/>
    <w:pPr>
      <w:tabs>
        <w:tab w:val="center" w:pos="4680"/>
        <w:tab w:val="right" w:pos="9360"/>
      </w:tabs>
      <w:spacing w:line="240" w:lineRule="auto"/>
    </w:pPr>
  </w:style>
  <w:style w:type="character" w:customStyle="1" w:styleId="HeaderChar">
    <w:name w:val="Header Char"/>
    <w:basedOn w:val="DefaultParagraphFont"/>
    <w:link w:val="Header"/>
    <w:uiPriority w:val="99"/>
    <w:rsid w:val="00BC61B5"/>
    <w:rPr>
      <w:rFonts w:asciiTheme="minorHAnsi" w:hAnsiTheme="minorHAnsi" w:cstheme="minorBidi"/>
      <w:sz w:val="22"/>
      <w:szCs w:val="22"/>
    </w:rPr>
  </w:style>
  <w:style w:type="paragraph" w:styleId="Footer">
    <w:name w:val="footer"/>
    <w:basedOn w:val="Normal"/>
    <w:link w:val="FooterChar"/>
    <w:uiPriority w:val="99"/>
    <w:unhideWhenUsed/>
    <w:rsid w:val="00BC61B5"/>
    <w:pPr>
      <w:tabs>
        <w:tab w:val="center" w:pos="4680"/>
        <w:tab w:val="right" w:pos="9360"/>
      </w:tabs>
      <w:spacing w:line="240" w:lineRule="auto"/>
    </w:pPr>
  </w:style>
  <w:style w:type="character" w:customStyle="1" w:styleId="FooterChar">
    <w:name w:val="Footer Char"/>
    <w:basedOn w:val="DefaultParagraphFont"/>
    <w:link w:val="Footer"/>
    <w:uiPriority w:val="99"/>
    <w:rsid w:val="00BC61B5"/>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E73"/>
    <w:pPr>
      <w:ind w:left="720"/>
      <w:contextualSpacing/>
    </w:pPr>
  </w:style>
  <w:style w:type="character" w:styleId="Hyperlink">
    <w:name w:val="Hyperlink"/>
    <w:basedOn w:val="DefaultParagraphFont"/>
    <w:uiPriority w:val="99"/>
    <w:unhideWhenUsed/>
    <w:rsid w:val="00631EBD"/>
    <w:rPr>
      <w:color w:val="0000FF" w:themeColor="hyperlink"/>
      <w:u w:val="single"/>
    </w:rPr>
  </w:style>
  <w:style w:type="paragraph" w:styleId="Header">
    <w:name w:val="header"/>
    <w:basedOn w:val="Normal"/>
    <w:link w:val="HeaderChar"/>
    <w:uiPriority w:val="99"/>
    <w:unhideWhenUsed/>
    <w:rsid w:val="00BC61B5"/>
    <w:pPr>
      <w:tabs>
        <w:tab w:val="center" w:pos="4680"/>
        <w:tab w:val="right" w:pos="9360"/>
      </w:tabs>
      <w:spacing w:line="240" w:lineRule="auto"/>
    </w:pPr>
  </w:style>
  <w:style w:type="character" w:customStyle="1" w:styleId="HeaderChar">
    <w:name w:val="Header Char"/>
    <w:basedOn w:val="DefaultParagraphFont"/>
    <w:link w:val="Header"/>
    <w:uiPriority w:val="99"/>
    <w:rsid w:val="00BC61B5"/>
    <w:rPr>
      <w:rFonts w:asciiTheme="minorHAnsi" w:hAnsiTheme="minorHAnsi" w:cstheme="minorBidi"/>
      <w:sz w:val="22"/>
      <w:szCs w:val="22"/>
    </w:rPr>
  </w:style>
  <w:style w:type="paragraph" w:styleId="Footer">
    <w:name w:val="footer"/>
    <w:basedOn w:val="Normal"/>
    <w:link w:val="FooterChar"/>
    <w:uiPriority w:val="99"/>
    <w:unhideWhenUsed/>
    <w:rsid w:val="00BC61B5"/>
    <w:pPr>
      <w:tabs>
        <w:tab w:val="center" w:pos="4680"/>
        <w:tab w:val="right" w:pos="9360"/>
      </w:tabs>
      <w:spacing w:line="240" w:lineRule="auto"/>
    </w:pPr>
  </w:style>
  <w:style w:type="character" w:customStyle="1" w:styleId="FooterChar">
    <w:name w:val="Footer Char"/>
    <w:basedOn w:val="DefaultParagraphFont"/>
    <w:link w:val="Footer"/>
    <w:uiPriority w:val="99"/>
    <w:rsid w:val="00BC61B5"/>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1369183X.2020.1732588"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taylorfrancis.com/chapters/edit/10.4324/9781315624723-11/incapacitation-life-without-parole-jonathan-sorensen-thomas-reidy" TargetMode="External"/><Relationship Id="rId5" Type="http://schemas.openxmlformats.org/officeDocument/2006/relationships/webSettings" Target="webSettings.xml"/><Relationship Id="rId10" Type="http://schemas.openxmlformats.org/officeDocument/2006/relationships/hyperlink" Target="https://www.tandfonline.com/doi/10.1080/21565503.2018.1478736" TargetMode="External"/><Relationship Id="rId4" Type="http://schemas.openxmlformats.org/officeDocument/2006/relationships/settings" Target="settings.xml"/><Relationship Id="rId9" Type="http://schemas.openxmlformats.org/officeDocument/2006/relationships/hyperlink" Target="https://online.ucpress.edu/nclr/article-abstract/22/4/434/109843/Bargaining-in-the-DarkThe-Need-for-Transparen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9</cp:revision>
  <dcterms:created xsi:type="dcterms:W3CDTF">2021-10-29T23:17:00Z</dcterms:created>
  <dcterms:modified xsi:type="dcterms:W3CDTF">2021-10-30T08:18:00Z</dcterms:modified>
</cp:coreProperties>
</file>